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00" w:line="360" w:lineRule="atLeast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Паллиативная помощь повышает качество жизни пациентов с неизлечимыми заболеваниями и членов их семей.</w:t>
      </w:r>
    </w:p>
    <w:p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Паллиативная помощь включает в себя:</w:t>
      </w:r>
    </w:p>
    <w:p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обезболивание и облегчение тяжелых проявлений болезни (тошнота, рвота,</w:t>
      </w:r>
    </w:p>
    <w:p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одышка и др.);</w:t>
      </w:r>
    </w:p>
    <w:p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профессиональный сестринский уход на дому и в стационаре;</w:t>
      </w:r>
    </w:p>
    <w:p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психологическую и духовную поддержку пациента и его близких;</w:t>
      </w:r>
    </w:p>
    <w:p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социальную помощь;</w:t>
      </w:r>
    </w:p>
    <w:p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юридические консультации.</w:t>
      </w:r>
    </w:p>
    <w:p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Основные принципы паллиативной помощи:</w:t>
      </w:r>
    </w:p>
    <w:p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главный приоритет – не продолжительность, а качество жизни: уменьшение</w:t>
      </w:r>
    </w:p>
    <w:p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страданий и стремление к максимальному комфорту и самостоятельности</w:t>
      </w:r>
    </w:p>
    <w:p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пациента;</w:t>
      </w:r>
    </w:p>
    <w:p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индивидуальный подход к пациенту с учетом его потребностей и социального</w:t>
      </w:r>
    </w:p>
    <w:p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статуса;</w:t>
      </w:r>
    </w:p>
    <w:p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поддержка не только пациента, но и его близких как во время болезни, так и</w:t>
      </w:r>
    </w:p>
    <w:p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после смерти.</w:t>
      </w:r>
    </w:p>
    <w:p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В паллиативной помощи нуждаются дети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 неизлечимыми заболеваниями или состояниями, угрожающими жизни или сокращающими ее продолжительность, в стадии, когда отсутствуют или исчерпаны возможности этиопатогенетического лечения, по медицинским показаниям с учетом тяжести, функционального состояния и прогноза основного заболевания, в том числе:</w:t>
      </w:r>
    </w:p>
    <w:p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распространенные и метастатические формы злокачественных новообразований, при невозможности достичь клинико-лабораторной ремиссии;</w:t>
      </w:r>
    </w:p>
    <w:p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поражение нервной системы врожденного или приобретенного характера (включая нейродегенеративные и нервно-мышечные заболевания, врожденные пороки развития, тяжелые гипоксически-травматические поражения нервной системы любого генеза, поражения нервной системы при генетически обусловленных заболеваниях);</w:t>
      </w:r>
    </w:p>
    <w:p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неоперабельные врожденные пороки развития;</w:t>
      </w:r>
    </w:p>
    <w:p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поздние стадии неизлечимых хронических прогрессирующих соматических заболеваний, в стадии субкомпенсации и декомпенсации жизненно важных систем, нуждающиеся в симптоматическом лечении и уходе;</w:t>
      </w:r>
    </w:p>
    <w:p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последствия травм и социально значимых заболеваний, сопровождающиеся снижением (ограничением) функции органов и систем, с неблагоприятным прогнозом.</w:t>
      </w:r>
    </w:p>
    <w:p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Важно: в паллиативной помощи не оказываются следующие услуги:</w:t>
      </w:r>
    </w:p>
    <w:p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111213"/>
          <w:sz w:val="24"/>
          <w:szCs w:val="24"/>
          <w:lang w:eastAsia="ru-RU"/>
        </w:rPr>
        <w:t>не</w:t>
      </w: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 устанавливают диагноз (в стационар направляют пациентов на основании тяжести состояния и с уже установленным диагнозом);</w:t>
      </w:r>
    </w:p>
    <w:p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111213"/>
          <w:sz w:val="24"/>
          <w:szCs w:val="24"/>
          <w:lang w:eastAsia="ru-RU"/>
        </w:rPr>
        <w:t>не </w:t>
      </w: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проводят дополнительную диагностику;</w:t>
      </w:r>
    </w:p>
    <w:p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111213"/>
          <w:sz w:val="24"/>
          <w:szCs w:val="24"/>
          <w:lang w:eastAsia="ru-RU"/>
        </w:rPr>
        <w:t>не</w:t>
      </w: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 оказывают экстренную помощь при острых состояниях и заболеваниях;</w:t>
      </w:r>
    </w:p>
    <w:p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111213"/>
          <w:sz w:val="24"/>
          <w:szCs w:val="24"/>
          <w:lang w:eastAsia="ru-RU"/>
        </w:rPr>
        <w:t>не </w:t>
      </w: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проводят реанимационные мероприятия;</w:t>
      </w:r>
    </w:p>
    <w:p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111213"/>
          <w:sz w:val="24"/>
          <w:szCs w:val="24"/>
          <w:lang w:eastAsia="ru-RU"/>
        </w:rPr>
        <w:t>не </w:t>
      </w: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проводят хирургических операций;</w:t>
      </w:r>
    </w:p>
    <w:p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111213"/>
          <w:sz w:val="24"/>
          <w:szCs w:val="24"/>
          <w:lang w:eastAsia="ru-RU"/>
        </w:rPr>
        <w:t>не </w:t>
      </w: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проводят химиотерапию и лучевую терапию, то есть не продолжают</w:t>
      </w:r>
    </w:p>
    <w:p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лечение;</w:t>
      </w:r>
    </w:p>
    <w:p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hAnsi="Arial" w:eastAsia="Times New Roman" w:cs="Arial"/>
          <w:color w:val="111213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111213"/>
          <w:sz w:val="24"/>
          <w:szCs w:val="24"/>
          <w:lang w:eastAsia="ru-RU"/>
        </w:rPr>
        <w:t>не</w:t>
      </w:r>
      <w:r>
        <w:rPr>
          <w:rFonts w:ascii="Arial" w:hAnsi="Arial" w:eastAsia="Times New Roman" w:cs="Arial"/>
          <w:color w:val="111213"/>
          <w:sz w:val="24"/>
          <w:szCs w:val="24"/>
          <w:lang w:eastAsia="ru-RU"/>
        </w:rPr>
        <w:t> лечат психические заболевания, однако, принимают пациентов с деменцией и с психиатрическими диагнозами ВНЕ обострения.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B51529"/>
    <w:multiLevelType w:val="multilevel"/>
    <w:tmpl w:val="1FB5152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4334BC3"/>
    <w:multiLevelType w:val="multilevel"/>
    <w:tmpl w:val="34334BC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E7139F4"/>
    <w:multiLevelType w:val="multilevel"/>
    <w:tmpl w:val="3E7139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A8A2476"/>
    <w:multiLevelType w:val="multilevel"/>
    <w:tmpl w:val="5A8A24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8"/>
    <w:rsid w:val="00382C75"/>
    <w:rsid w:val="005473D8"/>
    <w:rsid w:val="55B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446</Words>
  <Characters>2543</Characters>
  <Lines>21</Lines>
  <Paragraphs>5</Paragraphs>
  <TotalTime>5</TotalTime>
  <ScaleCrop>false</ScaleCrop>
  <LinksUpToDate>false</LinksUpToDate>
  <CharactersWithSpaces>2984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2023-01-26T12:48:00Z</dcterms:created>
  <dc:creator>Зам Главного врача</dc:creator>
  <cp:lastModifiedBy>Зам Главного врача</cp:lastModifiedBy>
  <dcterms:modified xsi:type="dcterms:W3CDTF">2023-02-03T12:47:07Z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6B226175AEA44AF083C22D908573DA3E</vt:lpwstr>
  </property>
</Properties>
</file>